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223D4A"/>
          <w:sz w:val="60"/>
        </w:rPr>
        <w:t>8D ULTRATONE HIFU</w:t>
      </w:r>
    </w:p>
    <w:p>
      <w:pPr>
        <w:jc w:val="center"/>
      </w:pPr>
      <w:r>
        <w:rPr>
          <w:rFonts w:ascii="Aptos Display" w:hAnsi="Aptos Display"/>
          <w:b/>
          <w:sz w:val="36"/>
        </w:rPr>
        <w:t>PROFESSIONAL SYSTEM</w:t>
      </w:r>
    </w:p>
    <w:p>
      <w:pPr>
        <w:jc w:val="center"/>
      </w:pPr>
      <w:r>
        <w:rPr>
          <w:i/>
          <w:sz w:val="30"/>
        </w:rPr>
        <w:t>Owner &amp; Operations Reference Manual</w:t>
      </w:r>
    </w:p>
    <w:p/>
    <w:tbl>
      <w:tblPr>
        <w:tblStyle w:val="TableGrid"/>
        <w:tblW w:type="auto" w:w="0"/>
        <w:jc w:val="center"/>
        <w:tblLook w:firstColumn="1" w:firstRow="1" w:lastColumn="0" w:lastRow="0" w:noHBand="0" w:noVBand="1" w:val="04A0"/>
      </w:tblPr>
      <w:tblGrid>
        <w:gridCol w:w="4968"/>
        <w:gridCol w:w="4968"/>
      </w:tblGrid>
      <w:tr>
        <w:tc>
          <w:tcPr>
            <w:tcW w:type="dxa" w:w="4968"/>
            <w:shd w:fill="E7EEF2"/>
          </w:tcPr>
          <w:p>
            <w:r/>
            <w:r>
              <w:rPr>
                <w:rFonts w:ascii="Aptos" w:hAnsi="Aptos"/>
                <w:b/>
                <w:sz w:val="18"/>
              </w:rPr>
              <w:t>Supplier</w:t>
            </w:r>
          </w:p>
        </w:tc>
        <w:tc>
          <w:tcPr>
            <w:tcW w:type="dxa" w:w="4968"/>
          </w:tcPr>
          <w:p>
            <w:r/>
            <w:r>
              <w:rPr>
                <w:rFonts w:ascii="Aptos" w:hAnsi="Aptos"/>
                <w:b w:val="0"/>
                <w:sz w:val="18"/>
              </w:rPr>
              <w:t>The Online Beauty Warehouse</w:t>
            </w:r>
          </w:p>
        </w:tc>
      </w:tr>
      <w:tr>
        <w:tc>
          <w:tcPr>
            <w:tcW w:type="dxa" w:w="4968"/>
            <w:shd w:fill="E7EEF2"/>
          </w:tcPr>
          <w:p>
            <w:r/>
            <w:r>
              <w:rPr>
                <w:rFonts w:ascii="Aptos" w:hAnsi="Aptos"/>
                <w:b/>
                <w:sz w:val="18"/>
              </w:rPr>
              <w:t>Purchased</w:t>
            </w:r>
          </w:p>
        </w:tc>
        <w:tc>
          <w:tcPr>
            <w:tcW w:type="dxa" w:w="4968"/>
          </w:tcPr>
          <w:p>
            <w:r/>
            <w:r>
              <w:rPr>
                <w:rFonts w:ascii="Aptos" w:hAnsi="Aptos"/>
                <w:b w:val="0"/>
                <w:sz w:val="18"/>
              </w:rPr>
              <w:t>18 February 2026</w:t>
            </w:r>
          </w:p>
        </w:tc>
      </w:tr>
      <w:tr>
        <w:tc>
          <w:tcPr>
            <w:tcW w:type="dxa" w:w="4968"/>
            <w:shd w:fill="E7EEF2"/>
          </w:tcPr>
          <w:p>
            <w:r/>
            <w:r>
              <w:rPr>
                <w:rFonts w:ascii="Aptos" w:hAnsi="Aptos"/>
                <w:b/>
                <w:sz w:val="18"/>
              </w:rPr>
              <w:t>Invoice</w:t>
            </w:r>
          </w:p>
        </w:tc>
        <w:tc>
          <w:tcPr>
            <w:tcW w:type="dxa" w:w="4968"/>
          </w:tcPr>
          <w:p>
            <w:r/>
            <w:r>
              <w:rPr>
                <w:rFonts w:ascii="Aptos" w:hAnsi="Aptos"/>
                <w:b w:val="0"/>
                <w:sz w:val="18"/>
              </w:rPr>
              <w:t>INV-1490</w:t>
            </w:r>
          </w:p>
        </w:tc>
      </w:tr>
      <w:tr>
        <w:tc>
          <w:tcPr>
            <w:tcW w:type="dxa" w:w="4968"/>
            <w:shd w:fill="E7EEF2"/>
          </w:tcPr>
          <w:p>
            <w:r/>
            <w:r>
              <w:rPr>
                <w:rFonts w:ascii="Aptos" w:hAnsi="Aptos"/>
                <w:b/>
                <w:sz w:val="18"/>
              </w:rPr>
              <w:t>Product</w:t>
            </w:r>
          </w:p>
        </w:tc>
        <w:tc>
          <w:tcPr>
            <w:tcW w:type="dxa" w:w="4968"/>
          </w:tcPr>
          <w:p>
            <w:r/>
            <w:r>
              <w:rPr>
                <w:rFonts w:ascii="Aptos" w:hAnsi="Aptos"/>
                <w:b w:val="0"/>
                <w:sz w:val="18"/>
              </w:rPr>
              <w:t>8D UltraTone HIFU</w:t>
            </w:r>
          </w:p>
        </w:tc>
      </w:tr>
      <w:tr>
        <w:tc>
          <w:tcPr>
            <w:tcW w:type="dxa" w:w="4968"/>
            <w:shd w:fill="E7EEF2"/>
          </w:tcPr>
          <w:p>
            <w:r/>
            <w:r>
              <w:rPr>
                <w:rFonts w:ascii="Aptos" w:hAnsi="Aptos"/>
                <w:b/>
                <w:sz w:val="18"/>
              </w:rPr>
              <w:t>Purchase price</w:t>
            </w:r>
          </w:p>
        </w:tc>
        <w:tc>
          <w:tcPr>
            <w:tcW w:type="dxa" w:w="4968"/>
          </w:tcPr>
          <w:p>
            <w:r/>
            <w:r>
              <w:rPr>
                <w:rFonts w:ascii="Aptos" w:hAnsi="Aptos"/>
                <w:b w:val="0"/>
                <w:sz w:val="18"/>
              </w:rPr>
              <w:t>AUD $7,150 incl. GST (invoice total)</w:t>
            </w:r>
          </w:p>
        </w:tc>
      </w:tr>
    </w:tbl>
    <w:p/>
    <w:p>
      <w:pPr>
        <w:jc w:val="center"/>
      </w:pPr>
      <w:r>
        <w:rPr>
          <w:b/>
          <w:color w:val="A02D2D"/>
          <w:sz w:val="26"/>
        </w:rPr>
        <w:t>IMPORTANT</w:t>
      </w:r>
    </w:p>
    <w:p>
      <w:pPr>
        <w:jc w:val="center"/>
      </w:pPr>
      <w:r>
        <w:t>This document is an owner/reference manual compiled from the supplier's published product information and the purchase invoice. It is not the manufacturer's original technical manual, a treatment protocol, or a substitute for hands-on HIFU training.</w:t>
      </w:r>
    </w:p>
    <w:p>
      <w:r>
        <w:br w:type="page"/>
      </w:r>
    </w:p>
    <w:p>
      <w:pPr>
        <w:pStyle w:val="Heading1"/>
      </w:pPr>
      <w:r>
        <w:t>1. Purpose and scope</w:t>
      </w:r>
    </w:p>
    <w:p>
      <w:r>
        <w:t>This manual provides a practical reference for identifying, setting up, caring for, storing and transferring the 8D UltraTone HIFU Professional System. It intentionally does not prescribe treatment energy, line spacing, shot counts, anatomical treatment maps or client-specific clinical parameters. Those settings must come from the device manufacturer/supplier and appropriate professional training.</w:t>
      </w:r>
    </w:p>
    <w:p>
      <w:pPr>
        <w:pStyle w:val="Heading1"/>
      </w:pPr>
      <w:r>
        <w:t>2. Confirmed product information</w:t>
      </w:r>
    </w:p>
    <w:p>
      <w:r>
        <w:t>The purchase invoice identifies the unit as an 8D UltraTone HIFU supplied by The Online Beauty Warehouse. The supplier's current published product information describes the system as a professional high-intensity focused ultrasound device for non-invasive facial and body applications.</w:t>
      </w:r>
    </w:p>
    <w:tbl>
      <w:tblPr>
        <w:tblStyle w:val="TableGrid"/>
        <w:tblW w:type="auto" w:w="0"/>
        <w:jc w:val="center"/>
        <w:tblLook w:firstColumn="1" w:firstRow="1" w:lastColumn="0" w:lastRow="0" w:noHBand="0" w:noVBand="1" w:val="04A0"/>
      </w:tblPr>
      <w:tblGrid>
        <w:gridCol w:w="4968"/>
        <w:gridCol w:w="4968"/>
      </w:tblGrid>
      <w:tr>
        <w:tc>
          <w:tcPr>
            <w:tcW w:type="dxa" w:w="4968"/>
            <w:shd w:fill="D8E5EA"/>
          </w:tcPr>
          <w:p>
            <w:r/>
            <w:r>
              <w:rPr>
                <w:rFonts w:ascii="Aptos" w:hAnsi="Aptos"/>
                <w:b/>
                <w:sz w:val="18"/>
              </w:rPr>
              <w:t>Feature</w:t>
            </w:r>
          </w:p>
        </w:tc>
        <w:tc>
          <w:tcPr>
            <w:tcW w:type="dxa" w:w="4968"/>
            <w:shd w:fill="D8E5EA"/>
          </w:tcPr>
          <w:p>
            <w:r/>
            <w:r>
              <w:rPr>
                <w:rFonts w:ascii="Aptos" w:hAnsi="Aptos"/>
                <w:b/>
                <w:sz w:val="18"/>
              </w:rPr>
              <w:t>Published information</w:t>
            </w:r>
          </w:p>
        </w:tc>
      </w:tr>
      <w:tr>
        <w:tc>
          <w:tcPr>
            <w:tcW w:type="dxa" w:w="4968"/>
          </w:tcPr>
          <w:p>
            <w:r/>
            <w:r>
              <w:rPr>
                <w:rFonts w:ascii="Aptos" w:hAnsi="Aptos"/>
                <w:b/>
                <w:sz w:val="18"/>
              </w:rPr>
              <w:t>Technology</w:t>
            </w:r>
          </w:p>
        </w:tc>
        <w:tc>
          <w:tcPr>
            <w:tcW w:type="dxa" w:w="4968"/>
          </w:tcPr>
          <w:p>
            <w:r/>
            <w:r>
              <w:rPr>
                <w:rFonts w:ascii="Aptos" w:hAnsi="Aptos"/>
                <w:b w:val="0"/>
                <w:sz w:val="18"/>
              </w:rPr>
              <w:t>High-Intensity Focused Ultrasound (HIFU)</w:t>
            </w:r>
          </w:p>
        </w:tc>
      </w:tr>
      <w:tr>
        <w:tc>
          <w:tcPr>
            <w:tcW w:type="dxa" w:w="4968"/>
          </w:tcPr>
          <w:p>
            <w:r/>
            <w:r>
              <w:rPr>
                <w:rFonts w:ascii="Aptos" w:hAnsi="Aptos"/>
                <w:b/>
                <w:sz w:val="18"/>
              </w:rPr>
              <w:t>Delivery modes</w:t>
            </w:r>
          </w:p>
        </w:tc>
        <w:tc>
          <w:tcPr>
            <w:tcW w:type="dxa" w:w="4968"/>
          </w:tcPr>
          <w:p>
            <w:r/>
            <w:r>
              <w:rPr>
                <w:rFonts w:ascii="Aptos" w:hAnsi="Aptos"/>
                <w:b w:val="0"/>
                <w:sz w:val="18"/>
              </w:rPr>
              <w:t>Fast and Slow</w:t>
            </w:r>
          </w:p>
        </w:tc>
      </w:tr>
      <w:tr>
        <w:tc>
          <w:tcPr>
            <w:tcW w:type="dxa" w:w="4968"/>
          </w:tcPr>
          <w:p>
            <w:r/>
            <w:r>
              <w:rPr>
                <w:rFonts w:ascii="Aptos" w:hAnsi="Aptos"/>
                <w:b/>
                <w:sz w:val="18"/>
              </w:rPr>
              <w:t>Multi-line capability</w:t>
            </w:r>
          </w:p>
        </w:tc>
        <w:tc>
          <w:tcPr>
            <w:tcW w:type="dxa" w:w="4968"/>
          </w:tcPr>
          <w:p>
            <w:r/>
            <w:r>
              <w:rPr>
                <w:rFonts w:ascii="Aptos" w:hAnsi="Aptos"/>
                <w:b w:val="0"/>
                <w:sz w:val="18"/>
              </w:rPr>
              <w:t>1 to 11 lines in a single shot</w:t>
            </w:r>
          </w:p>
        </w:tc>
      </w:tr>
      <w:tr>
        <w:tc>
          <w:tcPr>
            <w:tcW w:type="dxa" w:w="4968"/>
          </w:tcPr>
          <w:p>
            <w:r/>
            <w:r>
              <w:rPr>
                <w:rFonts w:ascii="Aptos" w:hAnsi="Aptos"/>
                <w:b/>
                <w:sz w:val="18"/>
              </w:rPr>
              <w:t>Facial cartridge depths</w:t>
            </w:r>
          </w:p>
        </w:tc>
        <w:tc>
          <w:tcPr>
            <w:tcW w:type="dxa" w:w="4968"/>
          </w:tcPr>
          <w:p>
            <w:r/>
            <w:r>
              <w:rPr>
                <w:rFonts w:ascii="Aptos" w:hAnsi="Aptos"/>
                <w:b w:val="0"/>
                <w:sz w:val="18"/>
              </w:rPr>
              <w:t>1.5 mm, 3.0 mm, 4.5 mm</w:t>
            </w:r>
          </w:p>
        </w:tc>
      </w:tr>
      <w:tr>
        <w:tc>
          <w:tcPr>
            <w:tcW w:type="dxa" w:w="4968"/>
          </w:tcPr>
          <w:p>
            <w:r/>
            <w:r>
              <w:rPr>
                <w:rFonts w:ascii="Aptos" w:hAnsi="Aptos"/>
                <w:b/>
                <w:sz w:val="18"/>
              </w:rPr>
              <w:t>Body cartridge depths</w:t>
            </w:r>
          </w:p>
        </w:tc>
        <w:tc>
          <w:tcPr>
            <w:tcW w:type="dxa" w:w="4968"/>
          </w:tcPr>
          <w:p>
            <w:r/>
            <w:r>
              <w:rPr>
                <w:rFonts w:ascii="Aptos" w:hAnsi="Aptos"/>
                <w:b w:val="0"/>
                <w:sz w:val="18"/>
              </w:rPr>
              <w:t>6.0 mm, 8.0 mm, 10.0 mm, 13.0 mm, 16.0 mm</w:t>
            </w:r>
          </w:p>
        </w:tc>
      </w:tr>
      <w:tr>
        <w:tc>
          <w:tcPr>
            <w:tcW w:type="dxa" w:w="4968"/>
          </w:tcPr>
          <w:p>
            <w:r/>
            <w:r>
              <w:rPr>
                <w:rFonts w:ascii="Aptos" w:hAnsi="Aptos"/>
                <w:b/>
                <w:sz w:val="18"/>
              </w:rPr>
              <w:t>Interface</w:t>
            </w:r>
          </w:p>
        </w:tc>
        <w:tc>
          <w:tcPr>
            <w:tcW w:type="dxa" w:w="4968"/>
          </w:tcPr>
          <w:p>
            <w:r/>
            <w:r>
              <w:rPr>
                <w:rFonts w:ascii="Aptos" w:hAnsi="Aptos"/>
                <w:b w:val="0"/>
                <w:sz w:val="18"/>
              </w:rPr>
              <w:t>Touchscreen / adjustable treatment parameters (supplier description)</w:t>
            </w:r>
          </w:p>
        </w:tc>
      </w:tr>
    </w:tbl>
    <w:p>
      <w:pPr>
        <w:pStyle w:val="Heading1"/>
      </w:pPr>
      <w:r>
        <w:t>3. Safety - read before use</w:t>
      </w:r>
    </w:p>
    <w:p>
      <w:r>
        <w:rPr>
          <w:b/>
          <w:color w:val="A02D2D"/>
        </w:rPr>
        <w:t xml:space="preserve">WARNING: </w:t>
      </w:r>
      <w:r>
        <w:t>HIFU concentrates ultrasound energy below the skin. Incorrect depth, energy, placement or technique can cause injury. Only a suitably trained operator should perform treatments, and the supplier/manufacturer protocol for the exact unit must take priority.</w:t>
      </w:r>
    </w:p>
    <w:p>
      <w:pPr>
        <w:pStyle w:val="ListBullet"/>
      </w:pPr>
      <w:r>
        <w:t>Do not operate the unit if the power lead, handpiece, cartridge, connector or casing is damaged.</w:t>
      </w:r>
    </w:p>
    <w:p>
      <w:pPr>
        <w:pStyle w:val="ListBullet"/>
      </w:pPr>
      <w:r>
        <w:t>Do not use a cartridge that is cracked, leaking, damaged, contaminated, expired, depleted or otherwise outside the supplier's instructions.</w:t>
      </w:r>
    </w:p>
    <w:p>
      <w:pPr>
        <w:pStyle w:val="ListBullet"/>
      </w:pPr>
      <w:r>
        <w:t>Do not fire the handpiece into air. Maintain the coupling/contact conditions specified by the supplier.</w:t>
      </w:r>
    </w:p>
    <w:p>
      <w:pPr>
        <w:pStyle w:val="ListBullet"/>
      </w:pPr>
      <w:r>
        <w:t>Never improvise energy settings, treatment depths, shot counts, line spacing or treatment zones from this reference manual.</w:t>
      </w:r>
    </w:p>
    <w:p>
      <w:pPr>
        <w:pStyle w:val="ListBullet"/>
      </w:pPr>
      <w:r>
        <w:t>Do not treat over the eyes, thyroid region, major nerves/vessels, open wounds, active infection, suspicious lesions, or other prohibited anatomy unless the exact manufacturer protocol expressly permits the area and the operator is appropriately trained.</w:t>
      </w:r>
    </w:p>
    <w:p>
      <w:pPr>
        <w:pStyle w:val="ListBullet"/>
      </w:pPr>
      <w:r>
        <w:t>Stop treatment immediately for unexpected severe pain, skin blanching/burning, motor changes, neurological symptoms, equipment error, unusual sound, smell, heat or loss of coupling.</w:t>
      </w:r>
    </w:p>
    <w:p>
      <w:pPr>
        <w:pStyle w:val="ListBullet"/>
      </w:pPr>
      <w:r>
        <w:t>Maintain client records, informed consent, pre-treatment assessment, cartridge identification and treatment settings according to professional and legal requirements.</w:t>
      </w:r>
    </w:p>
    <w:p>
      <w:pPr>
        <w:pStyle w:val="Heading1"/>
      </w:pPr>
      <w:r>
        <w:t>4. System components and pre-use inventory</w:t>
      </w:r>
    </w:p>
    <w:p>
      <w:r>
        <w:t>Before use or resale, verify the physical contents against the original supplied package. A typical working set may include:</w:t>
      </w:r>
    </w:p>
    <w:p>
      <w:pPr>
        <w:pStyle w:val="ListBullet"/>
      </w:pPr>
      <w:r>
        <w:t>Main 8D UltraTone HIFU console with touchscreen.</w:t>
      </w:r>
    </w:p>
    <w:p>
      <w:pPr>
        <w:pStyle w:val="ListBullet"/>
      </w:pPr>
      <w:r>
        <w:t>HIFU handpiece and cable/connector.</w:t>
      </w:r>
    </w:p>
    <w:p>
      <w:pPr>
        <w:pStyle w:val="ListBullet"/>
      </w:pPr>
      <w:r>
        <w:t>Compatible depth cartridges/tips actually supplied with the unit.</w:t>
      </w:r>
    </w:p>
    <w:p>
      <w:pPr>
        <w:pStyle w:val="ListBullet"/>
      </w:pPr>
      <w:r>
        <w:t>Power lead and any manufacturer-supplied accessories.</w:t>
      </w:r>
    </w:p>
    <w:p>
      <w:pPr>
        <w:pStyle w:val="ListBullet"/>
      </w:pPr>
      <w:r>
        <w:t>Conductive/coupling gel suitable for therapeutic ultrasound, where specified.</w:t>
      </w:r>
    </w:p>
    <w:p>
      <w:pPr>
        <w:pStyle w:val="ListBullet"/>
      </w:pPr>
      <w:r>
        <w:t>Original invoice, training records, warranty/service records and any supplier documentation.</w:t>
      </w:r>
    </w:p>
    <w:p>
      <w:r>
        <w:t>Do not represent an accessory or cartridge as included unless it is physically present with the unit.</w:t>
      </w:r>
    </w:p>
    <w:p>
      <w:pPr>
        <w:pStyle w:val="Heading1"/>
      </w:pPr>
      <w:r>
        <w:t>5. Cartridge depth reference</w:t>
      </w:r>
    </w:p>
    <w:tbl>
      <w:tblPr>
        <w:tblStyle w:val="TableGrid"/>
        <w:tblW w:type="auto" w:w="0"/>
        <w:tblLook w:firstColumn="1" w:firstRow="1" w:lastColumn="0" w:lastRow="0" w:noHBand="0" w:noVBand="1" w:val="04A0"/>
      </w:tblPr>
      <w:tblGrid>
        <w:gridCol w:w="3312"/>
        <w:gridCol w:w="3312"/>
        <w:gridCol w:w="3312"/>
      </w:tblGrid>
      <w:tr>
        <w:tc>
          <w:tcPr>
            <w:tcW w:type="dxa" w:w="3312"/>
            <w:shd w:fill="D8E5EA"/>
          </w:tcPr>
          <w:p>
            <w:r/>
            <w:r>
              <w:rPr>
                <w:rFonts w:ascii="Aptos" w:hAnsi="Aptos"/>
                <w:b/>
                <w:sz w:val="18"/>
              </w:rPr>
              <w:t>Depth</w:t>
            </w:r>
          </w:p>
        </w:tc>
        <w:tc>
          <w:tcPr>
            <w:tcW w:type="dxa" w:w="3312"/>
            <w:shd w:fill="D8E5EA"/>
          </w:tcPr>
          <w:p>
            <w:r/>
            <w:r>
              <w:rPr>
                <w:rFonts w:ascii="Aptos" w:hAnsi="Aptos"/>
                <w:b/>
                <w:sz w:val="18"/>
              </w:rPr>
              <w:t>Supplier category</w:t>
            </w:r>
          </w:p>
        </w:tc>
        <w:tc>
          <w:tcPr>
            <w:tcW w:type="dxa" w:w="3312"/>
            <w:shd w:fill="D8E5EA"/>
          </w:tcPr>
          <w:p>
            <w:r/>
            <w:r>
              <w:rPr>
                <w:rFonts w:ascii="Aptos" w:hAnsi="Aptos"/>
                <w:b/>
                <w:sz w:val="18"/>
              </w:rPr>
              <w:t>Operational note</w:t>
            </w:r>
          </w:p>
        </w:tc>
      </w:tr>
      <w:tr>
        <w:tc>
          <w:tcPr>
            <w:tcW w:type="dxa" w:w="3312"/>
          </w:tcPr>
          <w:p>
            <w:r/>
            <w:r>
              <w:rPr>
                <w:rFonts w:ascii="Aptos" w:hAnsi="Aptos"/>
                <w:b/>
                <w:sz w:val="18"/>
              </w:rPr>
              <w:t>1.5 mm</w:t>
            </w:r>
          </w:p>
        </w:tc>
        <w:tc>
          <w:tcPr>
            <w:tcW w:type="dxa" w:w="3312"/>
          </w:tcPr>
          <w:p>
            <w:r/>
            <w:r>
              <w:rPr>
                <w:rFonts w:ascii="Aptos" w:hAnsi="Aptos"/>
                <w:b w:val="0"/>
                <w:sz w:val="18"/>
              </w:rPr>
              <w:t>Facial</w:t>
            </w:r>
          </w:p>
        </w:tc>
        <w:tc>
          <w:tcPr>
            <w:tcW w:type="dxa" w:w="3312"/>
          </w:tcPr>
          <w:p>
            <w:r/>
            <w:r>
              <w:rPr>
                <w:rFonts w:ascii="Aptos" w:hAnsi="Aptos"/>
                <w:b w:val="0"/>
                <w:sz w:val="18"/>
              </w:rPr>
              <w:t>Superficial facial depth; use only per trained protocol.</w:t>
            </w:r>
          </w:p>
        </w:tc>
      </w:tr>
      <w:tr>
        <w:tc>
          <w:tcPr>
            <w:tcW w:type="dxa" w:w="3312"/>
          </w:tcPr>
          <w:p>
            <w:r/>
            <w:r>
              <w:rPr>
                <w:rFonts w:ascii="Aptos" w:hAnsi="Aptos"/>
                <w:b/>
                <w:sz w:val="18"/>
              </w:rPr>
              <w:t>3.0 mm</w:t>
            </w:r>
          </w:p>
        </w:tc>
        <w:tc>
          <w:tcPr>
            <w:tcW w:type="dxa" w:w="3312"/>
          </w:tcPr>
          <w:p>
            <w:r/>
            <w:r>
              <w:rPr>
                <w:rFonts w:ascii="Aptos" w:hAnsi="Aptos"/>
                <w:b w:val="0"/>
                <w:sz w:val="18"/>
              </w:rPr>
              <w:t>Facial</w:t>
            </w:r>
          </w:p>
        </w:tc>
        <w:tc>
          <w:tcPr>
            <w:tcW w:type="dxa" w:w="3312"/>
          </w:tcPr>
          <w:p>
            <w:r/>
            <w:r>
              <w:rPr>
                <w:rFonts w:ascii="Aptos" w:hAnsi="Aptos"/>
                <w:b w:val="0"/>
                <w:sz w:val="18"/>
              </w:rPr>
              <w:t>Facial depth; use only per trained protocol.</w:t>
            </w:r>
          </w:p>
        </w:tc>
      </w:tr>
      <w:tr>
        <w:tc>
          <w:tcPr>
            <w:tcW w:type="dxa" w:w="3312"/>
          </w:tcPr>
          <w:p>
            <w:r/>
            <w:r>
              <w:rPr>
                <w:rFonts w:ascii="Aptos" w:hAnsi="Aptos"/>
                <w:b/>
                <w:sz w:val="18"/>
              </w:rPr>
              <w:t>4.5 mm</w:t>
            </w:r>
          </w:p>
        </w:tc>
        <w:tc>
          <w:tcPr>
            <w:tcW w:type="dxa" w:w="3312"/>
          </w:tcPr>
          <w:p>
            <w:r/>
            <w:r>
              <w:rPr>
                <w:rFonts w:ascii="Aptos" w:hAnsi="Aptos"/>
                <w:b w:val="0"/>
                <w:sz w:val="18"/>
              </w:rPr>
              <w:t>Facial</w:t>
            </w:r>
          </w:p>
        </w:tc>
        <w:tc>
          <w:tcPr>
            <w:tcW w:type="dxa" w:w="3312"/>
          </w:tcPr>
          <w:p>
            <w:r/>
            <w:r>
              <w:rPr>
                <w:rFonts w:ascii="Aptos" w:hAnsi="Aptos"/>
                <w:b w:val="0"/>
                <w:sz w:val="18"/>
              </w:rPr>
              <w:t>Deeper facial depth; use only per trained protocol.</w:t>
            </w:r>
          </w:p>
        </w:tc>
      </w:tr>
      <w:tr>
        <w:tc>
          <w:tcPr>
            <w:tcW w:type="dxa" w:w="3312"/>
          </w:tcPr>
          <w:p>
            <w:r/>
            <w:r>
              <w:rPr>
                <w:rFonts w:ascii="Aptos" w:hAnsi="Aptos"/>
                <w:b/>
                <w:sz w:val="18"/>
              </w:rPr>
              <w:t>6.0 mm</w:t>
            </w:r>
          </w:p>
        </w:tc>
        <w:tc>
          <w:tcPr>
            <w:tcW w:type="dxa" w:w="3312"/>
          </w:tcPr>
          <w:p>
            <w:r/>
            <w:r>
              <w:rPr>
                <w:rFonts w:ascii="Aptos" w:hAnsi="Aptos"/>
                <w:b w:val="0"/>
                <w:sz w:val="18"/>
              </w:rPr>
              <w:t>Body</w:t>
            </w:r>
          </w:p>
        </w:tc>
        <w:tc>
          <w:tcPr>
            <w:tcW w:type="dxa" w:w="3312"/>
          </w:tcPr>
          <w:p>
            <w:r/>
            <w:r>
              <w:rPr>
                <w:rFonts w:ascii="Aptos" w:hAnsi="Aptos"/>
                <w:b w:val="0"/>
                <w:sz w:val="18"/>
              </w:rPr>
              <w:t>Body depth; not a facial substitute.</w:t>
            </w:r>
          </w:p>
        </w:tc>
      </w:tr>
      <w:tr>
        <w:tc>
          <w:tcPr>
            <w:tcW w:type="dxa" w:w="3312"/>
          </w:tcPr>
          <w:p>
            <w:r/>
            <w:r>
              <w:rPr>
                <w:rFonts w:ascii="Aptos" w:hAnsi="Aptos"/>
                <w:b/>
                <w:sz w:val="18"/>
              </w:rPr>
              <w:t>8.0 mm</w:t>
            </w:r>
          </w:p>
        </w:tc>
        <w:tc>
          <w:tcPr>
            <w:tcW w:type="dxa" w:w="3312"/>
          </w:tcPr>
          <w:p>
            <w:r/>
            <w:r>
              <w:rPr>
                <w:rFonts w:ascii="Aptos" w:hAnsi="Aptos"/>
                <w:b w:val="0"/>
                <w:sz w:val="18"/>
              </w:rPr>
              <w:t>Body</w:t>
            </w:r>
          </w:p>
        </w:tc>
        <w:tc>
          <w:tcPr>
            <w:tcW w:type="dxa" w:w="3312"/>
          </w:tcPr>
          <w:p>
            <w:r/>
            <w:r>
              <w:rPr>
                <w:rFonts w:ascii="Aptos" w:hAnsi="Aptos"/>
                <w:b w:val="0"/>
                <w:sz w:val="18"/>
              </w:rPr>
              <w:t>Body depth; not a facial substitute.</w:t>
            </w:r>
          </w:p>
        </w:tc>
      </w:tr>
      <w:tr>
        <w:tc>
          <w:tcPr>
            <w:tcW w:type="dxa" w:w="3312"/>
          </w:tcPr>
          <w:p>
            <w:r/>
            <w:r>
              <w:rPr>
                <w:rFonts w:ascii="Aptos" w:hAnsi="Aptos"/>
                <w:b/>
                <w:sz w:val="18"/>
              </w:rPr>
              <w:t>10.0 mm</w:t>
            </w:r>
          </w:p>
        </w:tc>
        <w:tc>
          <w:tcPr>
            <w:tcW w:type="dxa" w:w="3312"/>
          </w:tcPr>
          <w:p>
            <w:r/>
            <w:r>
              <w:rPr>
                <w:rFonts w:ascii="Aptos" w:hAnsi="Aptos"/>
                <w:b w:val="0"/>
                <w:sz w:val="18"/>
              </w:rPr>
              <w:t>Body</w:t>
            </w:r>
          </w:p>
        </w:tc>
        <w:tc>
          <w:tcPr>
            <w:tcW w:type="dxa" w:w="3312"/>
          </w:tcPr>
          <w:p>
            <w:r/>
            <w:r>
              <w:rPr>
                <w:rFonts w:ascii="Aptos" w:hAnsi="Aptos"/>
                <w:b w:val="0"/>
                <w:sz w:val="18"/>
              </w:rPr>
              <w:t>Body depth; not a facial substitute.</w:t>
            </w:r>
          </w:p>
        </w:tc>
      </w:tr>
      <w:tr>
        <w:tc>
          <w:tcPr>
            <w:tcW w:type="dxa" w:w="3312"/>
          </w:tcPr>
          <w:p>
            <w:r/>
            <w:r>
              <w:rPr>
                <w:rFonts w:ascii="Aptos" w:hAnsi="Aptos"/>
                <w:b/>
                <w:sz w:val="18"/>
              </w:rPr>
              <w:t>13.0 mm</w:t>
            </w:r>
          </w:p>
        </w:tc>
        <w:tc>
          <w:tcPr>
            <w:tcW w:type="dxa" w:w="3312"/>
          </w:tcPr>
          <w:p>
            <w:r/>
            <w:r>
              <w:rPr>
                <w:rFonts w:ascii="Aptos" w:hAnsi="Aptos"/>
                <w:b w:val="0"/>
                <w:sz w:val="18"/>
              </w:rPr>
              <w:t>Deep body</w:t>
            </w:r>
          </w:p>
        </w:tc>
        <w:tc>
          <w:tcPr>
            <w:tcW w:type="dxa" w:w="3312"/>
          </w:tcPr>
          <w:p>
            <w:r/>
            <w:r>
              <w:rPr>
                <w:rFonts w:ascii="Aptos" w:hAnsi="Aptos"/>
                <w:b w:val="0"/>
                <w:sz w:val="18"/>
              </w:rPr>
              <w:t>Deep body application only where specifically trained/authorised.</w:t>
            </w:r>
          </w:p>
        </w:tc>
      </w:tr>
      <w:tr>
        <w:tc>
          <w:tcPr>
            <w:tcW w:type="dxa" w:w="3312"/>
          </w:tcPr>
          <w:p>
            <w:r/>
            <w:r>
              <w:rPr>
                <w:rFonts w:ascii="Aptos" w:hAnsi="Aptos"/>
                <w:b/>
                <w:sz w:val="18"/>
              </w:rPr>
              <w:t>16.0 mm</w:t>
            </w:r>
          </w:p>
        </w:tc>
        <w:tc>
          <w:tcPr>
            <w:tcW w:type="dxa" w:w="3312"/>
          </w:tcPr>
          <w:p>
            <w:r/>
            <w:r>
              <w:rPr>
                <w:rFonts w:ascii="Aptos" w:hAnsi="Aptos"/>
                <w:b w:val="0"/>
                <w:sz w:val="18"/>
              </w:rPr>
              <w:t>Deep body</w:t>
            </w:r>
          </w:p>
        </w:tc>
        <w:tc>
          <w:tcPr>
            <w:tcW w:type="dxa" w:w="3312"/>
          </w:tcPr>
          <w:p>
            <w:r/>
            <w:r>
              <w:rPr>
                <w:rFonts w:ascii="Aptos" w:hAnsi="Aptos"/>
                <w:b w:val="0"/>
                <w:sz w:val="18"/>
              </w:rPr>
              <w:t>Deepest published cartridge depth; only where specifically trained/authorised.</w:t>
            </w:r>
          </w:p>
        </w:tc>
      </w:tr>
    </w:tbl>
    <w:p>
      <w:pPr>
        <w:pStyle w:val="Heading1"/>
      </w:pPr>
      <w:r>
        <w:t>6. Installation and start-up</w:t>
      </w:r>
    </w:p>
    <w:p>
      <w:pPr>
        <w:pStyle w:val="ListNumber"/>
      </w:pPr>
      <w:r>
        <w:t>Place the console on a stable, dry, level surface with adequate ventilation and clear access to the power connection.</w:t>
      </w:r>
    </w:p>
    <w:p>
      <w:pPr>
        <w:pStyle w:val="ListNumber"/>
      </w:pPr>
      <w:r>
        <w:t>Inspect the console, handpiece, cables and selected cartridge for damage or contamination.</w:t>
      </w:r>
    </w:p>
    <w:p>
      <w:pPr>
        <w:pStyle w:val="ListNumber"/>
      </w:pPr>
      <w:r>
        <w:t>With the system powered OFF, connect the handpiece and accessories only in the manner intended by the supplied connectors. Do not force connectors.</w:t>
      </w:r>
    </w:p>
    <w:p>
      <w:pPr>
        <w:pStyle w:val="ListNumber"/>
      </w:pPr>
      <w:r>
        <w:t>Fit only a cartridge confirmed as compatible with the 8D UltraTone system.</w:t>
      </w:r>
    </w:p>
    <w:p>
      <w:pPr>
        <w:pStyle w:val="ListNumber"/>
      </w:pPr>
      <w:r>
        <w:t>Connect the system to an appropriate electrical outlet. If the rating plate differs from the premises supply, do not power the machine and contact the supplier.</w:t>
      </w:r>
    </w:p>
    <w:p>
      <w:pPr>
        <w:pStyle w:val="ListNumber"/>
      </w:pPr>
      <w:r>
        <w:t>Switch the unit on and allow the interface to initialise. Confirm there are no error messages.</w:t>
      </w:r>
    </w:p>
    <w:p>
      <w:pPr>
        <w:pStyle w:val="ListNumber"/>
      </w:pPr>
      <w:r>
        <w:t>Confirm the selected cartridge/depth shown by the interface corresponds to the cartridge physically fitted.</w:t>
      </w:r>
    </w:p>
    <w:p>
      <w:pPr>
        <w:pStyle w:val="ListNumber"/>
      </w:pPr>
      <w:r>
        <w:t>Before any client treatment, follow the supplier's trained pre-use check and verify that all intended settings have been independently checked by the operator.</w:t>
      </w:r>
    </w:p>
    <w:p>
      <w:pPr>
        <w:pStyle w:val="Heading1"/>
      </w:pPr>
      <w:r>
        <w:t>7. Touchscreen and treatment controls</w:t>
      </w:r>
    </w:p>
    <w:p>
      <w:r>
        <w:t>The supplier describes the system as having an intuitive interface with adjustable parameters, Fast and Slow delivery modes, and the ability to deliver 1-11 lines in a shot. Because the original manufacturer screen-by-screen manual was not available when this document was compiled, button names, numeric ranges and treatment values are not reproduced here.</w:t>
      </w:r>
    </w:p>
    <w:p>
      <w:pPr>
        <w:pStyle w:val="ListBullet"/>
      </w:pPr>
      <w:r>
        <w:t>Fast mode: supplier-described rapid delivery mode.</w:t>
      </w:r>
    </w:p>
    <w:p>
      <w:pPr>
        <w:pStyle w:val="ListBullet"/>
      </w:pPr>
      <w:r>
        <w:t>Slow mode: supplier-described mode for more controlled/detailed delivery.</w:t>
      </w:r>
    </w:p>
    <w:p>
      <w:pPr>
        <w:pStyle w:val="ListBullet"/>
      </w:pPr>
      <w:r>
        <w:t>Line selection: published capability is 1-11 lines per shot.</w:t>
      </w:r>
    </w:p>
    <w:p>
      <w:pPr>
        <w:pStyle w:val="ListBullet"/>
      </w:pPr>
      <w:r>
        <w:t>Before firing: verify cartridge depth, mode, line setting and all other displayed parameters against the authorised protocol for the specific client and area.</w:t>
      </w:r>
    </w:p>
    <w:p>
      <w:pPr>
        <w:pStyle w:val="ListBullet"/>
      </w:pPr>
      <w:r>
        <w:t>If any icon, warning, parameter or menu is not understood, do not proceed until clarified by the supplier/manufacturer.</w:t>
      </w:r>
    </w:p>
    <w:p>
      <w:pPr>
        <w:pStyle w:val="Heading1"/>
      </w:pPr>
      <w:r>
        <w:t>8. General operating workflow</w:t>
      </w:r>
    </w:p>
    <w:p>
      <w:r>
        <w:t>The following is an equipment workflow, not a clinical treatment protocol:</w:t>
      </w:r>
    </w:p>
    <w:p>
      <w:pPr>
        <w:pStyle w:val="ListNumber"/>
      </w:pPr>
      <w:r>
        <w:t>Complete the client's consultation, medical/contraindication screening, consent and treatment plan using your approved clinical process.</w:t>
      </w:r>
    </w:p>
    <w:p>
      <w:pPr>
        <w:pStyle w:val="ListNumber"/>
      </w:pPr>
      <w:r>
        <w:t>Prepare the room, machine, handpiece and required consumables using appropriate hygiene procedures.</w:t>
      </w:r>
    </w:p>
    <w:p>
      <w:pPr>
        <w:pStyle w:val="ListNumber"/>
      </w:pPr>
      <w:r>
        <w:t>Select the correct cartridge for the planned area only after confirming the approved protocol.</w:t>
      </w:r>
    </w:p>
    <w:p>
      <w:pPr>
        <w:pStyle w:val="ListNumber"/>
      </w:pPr>
      <w:r>
        <w:t>Power on the system and confirm the fitted cartridge and screen information.</w:t>
      </w:r>
    </w:p>
    <w:p>
      <w:pPr>
        <w:pStyle w:val="ListNumber"/>
      </w:pPr>
      <w:r>
        <w:t>Apply coupling medium exactly as required by the supplier/training protocol.</w:t>
      </w:r>
    </w:p>
    <w:p>
      <w:pPr>
        <w:pStyle w:val="ListNumber"/>
      </w:pPr>
      <w:r>
        <w:t>Maintain full, stable handpiece contact and use only trained anatomical placement and technique.</w:t>
      </w:r>
    </w:p>
    <w:p>
      <w:pPr>
        <w:pStyle w:val="ListNumber"/>
      </w:pPr>
      <w:r>
        <w:t>Deliver treatment only within the approved settings and mapped area. Never guess or increase energy simply to intensify a result.</w:t>
      </w:r>
    </w:p>
    <w:p>
      <w:pPr>
        <w:pStyle w:val="ListNumber"/>
      </w:pPr>
      <w:r>
        <w:t>Continuously monitor the client and the device. Stop immediately if an adverse response or equipment fault is suspected.</w:t>
      </w:r>
    </w:p>
    <w:p>
      <w:pPr>
        <w:pStyle w:val="ListNumber"/>
      </w:pPr>
      <w:r>
        <w:t>At completion, return the system to standby/idle as applicable, power down safely, clean the handpiece and manage the cartridge according to supplier instructions.</w:t>
      </w:r>
    </w:p>
    <w:p>
      <w:pPr>
        <w:pStyle w:val="ListNumber"/>
      </w:pPr>
      <w:r>
        <w:t>Document the treatment and any device or cartridge information required by your clinic procedure.</w:t>
      </w:r>
    </w:p>
    <w:p>
      <w:pPr>
        <w:pStyle w:val="Heading1"/>
      </w:pPr>
      <w:r>
        <w:t>9. Contraindications and client screening</w:t>
      </w:r>
    </w:p>
    <w:p>
      <w:r>
        <w:t>A complete contraindication list for this exact unit was not located in the supplier's public product information. Do not rely on a generic internet list. Obtain the manufacturer's/supplier's current contraindication and precautions sheet before clinical use.</w:t>
      </w:r>
    </w:p>
    <w:p>
      <w:r>
        <w:t>As a minimum safety principle, defer treatment and seek appropriate clinical guidance whenever the client's medical history, implanted devices, pregnancy status, medication, recent procedures, active skin condition, altered sensation, wound healing, or anatomy raises uncertainty.</w:t>
      </w:r>
    </w:p>
    <w:p>
      <w:pPr>
        <w:pStyle w:val="Heading1"/>
      </w:pPr>
      <w:r>
        <w:t>10. Cleaning, hygiene and cartridge handling</w:t>
      </w:r>
    </w:p>
    <w:p>
      <w:pPr>
        <w:pStyle w:val="ListBullet"/>
      </w:pPr>
      <w:r>
        <w:t>Power the unit off before cleaning the console or external components.</w:t>
      </w:r>
    </w:p>
    <w:p>
      <w:pPr>
        <w:pStyle w:val="ListBullet"/>
      </w:pPr>
      <w:r>
        <w:t>Never immerse the console, handpiece, connectors or cables in liquid.</w:t>
      </w:r>
    </w:p>
    <w:p>
      <w:pPr>
        <w:pStyle w:val="ListBullet"/>
      </w:pPr>
      <w:r>
        <w:t>Use only cleaning/disinfection products and contact times compatible with the equipment materials and supplier instructions.</w:t>
      </w:r>
    </w:p>
    <w:p>
      <w:pPr>
        <w:pStyle w:val="ListBullet"/>
      </w:pPr>
      <w:r>
        <w:t>Keep electrical connectors dry and free of gel or cleaning fluid.</w:t>
      </w:r>
    </w:p>
    <w:p>
      <w:pPr>
        <w:pStyle w:val="ListBullet"/>
      </w:pPr>
      <w:r>
        <w:t>Remove residual coupling gel promptly from external treatment surfaces.</w:t>
      </w:r>
    </w:p>
    <w:p>
      <w:pPr>
        <w:pStyle w:val="ListBullet"/>
      </w:pPr>
      <w:r>
        <w:t>The supplier currently describes replacement 8D UltraTone/9D-series cartridges as individually sealed, sterile and single-use. Confirm the instructions printed on the actual cartridge packaging before use; packaging instructions take priority.</w:t>
      </w:r>
    </w:p>
    <w:p>
      <w:pPr>
        <w:pStyle w:val="ListBullet"/>
      </w:pPr>
      <w:r>
        <w:t>Do not reuse anything marked single-use. Dispose of used consumables in accordance with applicable clinic and local waste procedures.</w:t>
      </w:r>
    </w:p>
    <w:p>
      <w:pPr>
        <w:pStyle w:val="Heading1"/>
      </w:pPr>
      <w:r>
        <w:t>11. Shutdown and storage</w:t>
      </w:r>
    </w:p>
    <w:p>
      <w:pPr>
        <w:pStyle w:val="ListNumber"/>
      </w:pPr>
      <w:r>
        <w:t>End the active treatment/session through the interface where applicable.</w:t>
      </w:r>
    </w:p>
    <w:p>
      <w:pPr>
        <w:pStyle w:val="ListNumber"/>
      </w:pPr>
      <w:r>
        <w:t>Place the system in standby/idle and switch the main power off.</w:t>
      </w:r>
    </w:p>
    <w:p>
      <w:pPr>
        <w:pStyle w:val="ListNumber"/>
      </w:pPr>
      <w:r>
        <w:t>Disconnect power by holding the plug, not pulling the cable.</w:t>
      </w:r>
    </w:p>
    <w:p>
      <w:pPr>
        <w:pStyle w:val="ListNumber"/>
      </w:pPr>
      <w:r>
        <w:t>Clean and dry external surfaces as permitted by the supplier.</w:t>
      </w:r>
    </w:p>
    <w:p>
      <w:pPr>
        <w:pStyle w:val="ListNumber"/>
      </w:pPr>
      <w:r>
        <w:t>Store the handpiece securely so the cable is not sharply bent, crushed or under tension.</w:t>
      </w:r>
    </w:p>
    <w:p>
      <w:pPr>
        <w:pStyle w:val="ListNumber"/>
      </w:pPr>
      <w:r>
        <w:t>Store cartridges/consumables in their required conditions and protect them from impact, heat, moisture and contamination.</w:t>
      </w:r>
    </w:p>
    <w:p>
      <w:pPr>
        <w:pStyle w:val="ListNumber"/>
      </w:pPr>
      <w:r>
        <w:t>Keep the console in a clean, dry environment away from direct sunlight and liquids.</w:t>
      </w:r>
    </w:p>
    <w:p>
      <w:pPr>
        <w:pStyle w:val="Heading1"/>
      </w:pPr>
      <w:r>
        <w:t>12. Maintenance and servicing</w:t>
      </w:r>
    </w:p>
    <w:p>
      <w:pPr>
        <w:pStyle w:val="ListBullet"/>
      </w:pPr>
      <w:r>
        <w:t>Perform a visual inspection before each use.</w:t>
      </w:r>
    </w:p>
    <w:p>
      <w:pPr>
        <w:pStyle w:val="ListBullet"/>
      </w:pPr>
      <w:r>
        <w:t>Keep ventilation openings unobstructed.</w:t>
      </w:r>
    </w:p>
    <w:p>
      <w:pPr>
        <w:pStyle w:val="ListBullet"/>
      </w:pPr>
      <w:r>
        <w:t>Record faults, repairs, servicing and replacement parts.</w:t>
      </w:r>
    </w:p>
    <w:p>
      <w:pPr>
        <w:pStyle w:val="ListBullet"/>
      </w:pPr>
      <w:r>
        <w:t>Do not open the console or handpiece unless you are an authorised service technician.</w:t>
      </w:r>
    </w:p>
    <w:p>
      <w:pPr>
        <w:pStyle w:val="ListBullet"/>
      </w:pPr>
      <w:r>
        <w:t>Do not continue using a device after a fault, drop, liquid ingress, overheating event or damaged connector until it has been assessed.</w:t>
      </w:r>
    </w:p>
    <w:p>
      <w:pPr>
        <w:pStyle w:val="ListBullet"/>
      </w:pPr>
      <w:r>
        <w:t>For service history and technical specifications not shown on the rating plate, contact the original supplier.</w:t>
      </w:r>
    </w:p>
    <w:p>
      <w:pPr>
        <w:pStyle w:val="Heading1"/>
      </w:pPr>
      <w:r>
        <w:t>13. Basic troubleshooting</w:t>
      </w:r>
    </w:p>
    <w:tbl>
      <w:tblPr>
        <w:tblStyle w:val="TableGrid"/>
        <w:tblW w:type="auto" w:w="0"/>
        <w:tblLook w:firstColumn="1" w:firstRow="1" w:lastColumn="0" w:lastRow="0" w:noHBand="0" w:noVBand="1" w:val="04A0"/>
      </w:tblPr>
      <w:tblGrid>
        <w:gridCol w:w="3312"/>
        <w:gridCol w:w="3312"/>
        <w:gridCol w:w="3312"/>
      </w:tblGrid>
      <w:tr>
        <w:tc>
          <w:tcPr>
            <w:tcW w:type="dxa" w:w="3312"/>
            <w:shd w:fill="D8E5EA"/>
          </w:tcPr>
          <w:p>
            <w:r/>
            <w:r>
              <w:rPr>
                <w:rFonts w:ascii="Aptos" w:hAnsi="Aptos"/>
                <w:b/>
                <w:sz w:val="18"/>
              </w:rPr>
              <w:t>Issue</w:t>
            </w:r>
          </w:p>
        </w:tc>
        <w:tc>
          <w:tcPr>
            <w:tcW w:type="dxa" w:w="3312"/>
            <w:shd w:fill="D8E5EA"/>
          </w:tcPr>
          <w:p>
            <w:r/>
            <w:r>
              <w:rPr>
                <w:rFonts w:ascii="Aptos" w:hAnsi="Aptos"/>
                <w:b/>
                <w:sz w:val="18"/>
              </w:rPr>
              <w:t>Safe checks</w:t>
            </w:r>
          </w:p>
        </w:tc>
        <w:tc>
          <w:tcPr>
            <w:tcW w:type="dxa" w:w="3312"/>
            <w:shd w:fill="D8E5EA"/>
          </w:tcPr>
          <w:p>
            <w:r/>
            <w:r>
              <w:rPr>
                <w:rFonts w:ascii="Aptos" w:hAnsi="Aptos"/>
                <w:b/>
                <w:sz w:val="18"/>
              </w:rPr>
              <w:t>Action</w:t>
            </w:r>
          </w:p>
        </w:tc>
      </w:tr>
      <w:tr>
        <w:tc>
          <w:tcPr>
            <w:tcW w:type="dxa" w:w="3312"/>
          </w:tcPr>
          <w:p>
            <w:r/>
            <w:r>
              <w:rPr>
                <w:rFonts w:ascii="Aptos" w:hAnsi="Aptos"/>
                <w:b w:val="0"/>
                <w:sz w:val="18"/>
              </w:rPr>
              <w:t>Unit will not power on</w:t>
            </w:r>
          </w:p>
        </w:tc>
        <w:tc>
          <w:tcPr>
            <w:tcW w:type="dxa" w:w="3312"/>
          </w:tcPr>
          <w:p>
            <w:r/>
            <w:r>
              <w:rPr>
                <w:rFonts w:ascii="Aptos" w:hAnsi="Aptos"/>
                <w:b w:val="0"/>
                <w:sz w:val="18"/>
              </w:rPr>
              <w:t>Check wall outlet, power lead seating, visible cable damage and main switch.</w:t>
            </w:r>
          </w:p>
        </w:tc>
        <w:tc>
          <w:tcPr>
            <w:tcW w:type="dxa" w:w="3312"/>
          </w:tcPr>
          <w:p>
            <w:r/>
            <w:r>
              <w:rPr>
                <w:rFonts w:ascii="Aptos" w:hAnsi="Aptos"/>
                <w:b w:val="0"/>
                <w:sz w:val="18"/>
              </w:rPr>
              <w:t>If unresolved, stop and contact supplier/service technician.</w:t>
            </w:r>
          </w:p>
        </w:tc>
      </w:tr>
      <w:tr>
        <w:tc>
          <w:tcPr>
            <w:tcW w:type="dxa" w:w="3312"/>
          </w:tcPr>
          <w:p>
            <w:r/>
            <w:r>
              <w:rPr>
                <w:rFonts w:ascii="Aptos" w:hAnsi="Aptos"/>
                <w:b w:val="0"/>
                <w:sz w:val="18"/>
              </w:rPr>
              <w:t>Cartridge not recognised</w:t>
            </w:r>
          </w:p>
        </w:tc>
        <w:tc>
          <w:tcPr>
            <w:tcW w:type="dxa" w:w="3312"/>
          </w:tcPr>
          <w:p>
            <w:r/>
            <w:r>
              <w:rPr>
                <w:rFonts w:ascii="Aptos" w:hAnsi="Aptos"/>
                <w:b w:val="0"/>
                <w:sz w:val="18"/>
              </w:rPr>
              <w:t>Power down; confirm compatible cartridge is correctly seated and connectors are clean/dry.</w:t>
            </w:r>
          </w:p>
        </w:tc>
        <w:tc>
          <w:tcPr>
            <w:tcW w:type="dxa" w:w="3312"/>
          </w:tcPr>
          <w:p>
            <w:r/>
            <w:r>
              <w:rPr>
                <w:rFonts w:ascii="Aptos" w:hAnsi="Aptos"/>
                <w:b w:val="0"/>
                <w:sz w:val="18"/>
              </w:rPr>
              <w:t>Do not force. If unresolved, contact supplier.</w:t>
            </w:r>
          </w:p>
        </w:tc>
      </w:tr>
      <w:tr>
        <w:tc>
          <w:tcPr>
            <w:tcW w:type="dxa" w:w="3312"/>
          </w:tcPr>
          <w:p>
            <w:r/>
            <w:r>
              <w:rPr>
                <w:rFonts w:ascii="Aptos" w:hAnsi="Aptos"/>
                <w:b w:val="0"/>
                <w:sz w:val="18"/>
              </w:rPr>
              <w:t>Unexpected error message</w:t>
            </w:r>
          </w:p>
        </w:tc>
        <w:tc>
          <w:tcPr>
            <w:tcW w:type="dxa" w:w="3312"/>
          </w:tcPr>
          <w:p>
            <w:r/>
            <w:r>
              <w:rPr>
                <w:rFonts w:ascii="Aptos" w:hAnsi="Aptos"/>
                <w:b w:val="0"/>
                <w:sz w:val="18"/>
              </w:rPr>
              <w:t>Record/photograph the exact message and circumstances.</w:t>
            </w:r>
          </w:p>
        </w:tc>
        <w:tc>
          <w:tcPr>
            <w:tcW w:type="dxa" w:w="3312"/>
          </w:tcPr>
          <w:p>
            <w:r/>
            <w:r>
              <w:rPr>
                <w:rFonts w:ascii="Aptos" w:hAnsi="Aptos"/>
                <w:b w:val="0"/>
                <w:sz w:val="18"/>
              </w:rPr>
              <w:t>Stop treatment; consult supplier/manufacturer.</w:t>
            </w:r>
          </w:p>
        </w:tc>
      </w:tr>
      <w:tr>
        <w:tc>
          <w:tcPr>
            <w:tcW w:type="dxa" w:w="3312"/>
          </w:tcPr>
          <w:p>
            <w:r/>
            <w:r>
              <w:rPr>
                <w:rFonts w:ascii="Aptos" w:hAnsi="Aptos"/>
                <w:b w:val="0"/>
                <w:sz w:val="18"/>
              </w:rPr>
              <w:t>Handpiece/cartridge unusually hot</w:t>
            </w:r>
          </w:p>
        </w:tc>
        <w:tc>
          <w:tcPr>
            <w:tcW w:type="dxa" w:w="3312"/>
          </w:tcPr>
          <w:p>
            <w:r/>
            <w:r>
              <w:rPr>
                <w:rFonts w:ascii="Aptos" w:hAnsi="Aptos"/>
                <w:b w:val="0"/>
                <w:sz w:val="18"/>
              </w:rPr>
              <w:t>Stop firing and power down.</w:t>
            </w:r>
          </w:p>
        </w:tc>
        <w:tc>
          <w:tcPr>
            <w:tcW w:type="dxa" w:w="3312"/>
          </w:tcPr>
          <w:p>
            <w:r/>
            <w:r>
              <w:rPr>
                <w:rFonts w:ascii="Aptos" w:hAnsi="Aptos"/>
                <w:b w:val="0"/>
                <w:sz w:val="18"/>
              </w:rPr>
              <w:t>Do not resume until assessed.</w:t>
            </w:r>
          </w:p>
        </w:tc>
      </w:tr>
      <w:tr>
        <w:tc>
          <w:tcPr>
            <w:tcW w:type="dxa" w:w="3312"/>
          </w:tcPr>
          <w:p>
            <w:r/>
            <w:r>
              <w:rPr>
                <w:rFonts w:ascii="Aptos" w:hAnsi="Aptos"/>
                <w:b w:val="0"/>
                <w:sz w:val="18"/>
              </w:rPr>
              <w:t>Unusual sound, smell or smoke</w:t>
            </w:r>
          </w:p>
        </w:tc>
        <w:tc>
          <w:tcPr>
            <w:tcW w:type="dxa" w:w="3312"/>
          </w:tcPr>
          <w:p>
            <w:r/>
            <w:r>
              <w:rPr>
                <w:rFonts w:ascii="Aptos" w:hAnsi="Aptos"/>
                <w:b w:val="0"/>
                <w:sz w:val="18"/>
              </w:rPr>
              <w:t>Switch off and disconnect power if safe.</w:t>
            </w:r>
          </w:p>
        </w:tc>
        <w:tc>
          <w:tcPr>
            <w:tcW w:type="dxa" w:w="3312"/>
          </w:tcPr>
          <w:p>
            <w:r/>
            <w:r>
              <w:rPr>
                <w:rFonts w:ascii="Aptos" w:hAnsi="Aptos"/>
                <w:b w:val="0"/>
                <w:sz w:val="18"/>
              </w:rPr>
              <w:t>Do not reuse; arrange technical assessment.</w:t>
            </w:r>
          </w:p>
        </w:tc>
      </w:tr>
      <w:tr>
        <w:tc>
          <w:tcPr>
            <w:tcW w:type="dxa" w:w="3312"/>
          </w:tcPr>
          <w:p>
            <w:r/>
            <w:r>
              <w:rPr>
                <w:rFonts w:ascii="Aptos" w:hAnsi="Aptos"/>
                <w:b w:val="0"/>
                <w:sz w:val="18"/>
              </w:rPr>
              <w:t>Treatment output seems abnormal</w:t>
            </w:r>
          </w:p>
        </w:tc>
        <w:tc>
          <w:tcPr>
            <w:tcW w:type="dxa" w:w="3312"/>
          </w:tcPr>
          <w:p>
            <w:r/>
            <w:r>
              <w:rPr>
                <w:rFonts w:ascii="Aptos" w:hAnsi="Aptos"/>
                <w:b w:val="0"/>
                <w:sz w:val="18"/>
              </w:rPr>
              <w:t>Stop treatment; check cartridge identification and system status only.</w:t>
            </w:r>
          </w:p>
        </w:tc>
        <w:tc>
          <w:tcPr>
            <w:tcW w:type="dxa" w:w="3312"/>
          </w:tcPr>
          <w:p>
            <w:r/>
            <w:r>
              <w:rPr>
                <w:rFonts w:ascii="Aptos" w:hAnsi="Aptos"/>
                <w:b w:val="0"/>
                <w:sz w:val="18"/>
              </w:rPr>
              <w:t>Do not compensate by increasing settings; arrange support.</w:t>
            </w:r>
          </w:p>
        </w:tc>
      </w:tr>
    </w:tbl>
    <w:p>
      <w:pPr>
        <w:pStyle w:val="Heading1"/>
      </w:pPr>
      <w:r>
        <w:t>14. Adverse event response</w:t>
      </w:r>
    </w:p>
    <w:p>
      <w:r>
        <w:t>If a client develops an unexpected or significant reaction, stop treatment immediately. Provide appropriate first aid within the operator's competence, arrange medical assessment when indicated, preserve treatment records and device/cartridge details, and follow applicable incident-reporting requirements. Do not resume use of a device suspected of malfunction until it has been assessed.</w:t>
      </w:r>
    </w:p>
    <w:p>
      <w:pPr>
        <w:pStyle w:val="Heading1"/>
      </w:pPr>
      <w:r>
        <w:t>15. Transfer or resale checklist</w:t>
      </w:r>
    </w:p>
    <w:p>
      <w:pPr>
        <w:pStyle w:val="ListBullet"/>
      </w:pPr>
      <w:r>
        <w:t>Provide the purchaser with the invoice/proof of purchase where appropriate, while redacting personal information not needed by the buyer.</w:t>
      </w:r>
    </w:p>
    <w:p>
      <w:pPr>
        <w:pStyle w:val="ListBullet"/>
      </w:pPr>
      <w:r>
        <w:t>List exactly which cartridges, accessories and consumables are included and their condition.</w:t>
      </w:r>
    </w:p>
    <w:p>
      <w:pPr>
        <w:pStyle w:val="ListBullet"/>
      </w:pPr>
      <w:r>
        <w:t>Disclose known faults, repairs, servicing and remaining cartridge usage where the machine displays it.</w:t>
      </w:r>
    </w:p>
    <w:p>
      <w:pPr>
        <w:pStyle w:val="ListBullet"/>
      </w:pPr>
      <w:r>
        <w:t>Supply this reference manual together with any original manufacturer/supplier manual and training material you possess.</w:t>
      </w:r>
    </w:p>
    <w:p>
      <w:pPr>
        <w:pStyle w:val="ListBullet"/>
      </w:pPr>
      <w:r>
        <w:t>Recommend that the purchaser obtain device-specific training and the current manufacturer protocol before clinical operation.</w:t>
      </w:r>
    </w:p>
    <w:p>
      <w:pPr>
        <w:pStyle w:val="ListBullet"/>
      </w:pPr>
      <w:r>
        <w:t>Do not describe this compiled manual as the manufacturer's original manual.</w:t>
      </w:r>
    </w:p>
    <w:p>
      <w:pPr>
        <w:pStyle w:val="Heading1"/>
      </w:pPr>
      <w:r>
        <w:t>16. Supplier and purchase record</w:t>
      </w:r>
    </w:p>
    <w:tbl>
      <w:tblPr>
        <w:tblStyle w:val="TableGrid"/>
        <w:tblW w:type="auto" w:w="0"/>
        <w:tblLook w:firstColumn="1" w:firstRow="1" w:lastColumn="0" w:lastRow="0" w:noHBand="0" w:noVBand="1" w:val="04A0"/>
      </w:tblPr>
      <w:tblGrid>
        <w:gridCol w:w="4968"/>
        <w:gridCol w:w="4968"/>
      </w:tblGrid>
      <w:tr>
        <w:tc>
          <w:tcPr>
            <w:tcW w:type="dxa" w:w="4968"/>
            <w:shd w:fill="D8E5EA"/>
          </w:tcPr>
          <w:p>
            <w:r/>
            <w:r>
              <w:rPr>
                <w:rFonts w:ascii="Aptos" w:hAnsi="Aptos"/>
                <w:b/>
                <w:sz w:val="18"/>
              </w:rPr>
              <w:t>Record</w:t>
            </w:r>
          </w:p>
        </w:tc>
        <w:tc>
          <w:tcPr>
            <w:tcW w:type="dxa" w:w="4968"/>
            <w:shd w:fill="D8E5EA"/>
          </w:tcPr>
          <w:p>
            <w:r/>
            <w:r>
              <w:rPr>
                <w:rFonts w:ascii="Aptos" w:hAnsi="Aptos"/>
                <w:b/>
                <w:sz w:val="18"/>
              </w:rPr>
              <w:t>Details</w:t>
            </w:r>
          </w:p>
        </w:tc>
      </w:tr>
      <w:tr>
        <w:tc>
          <w:tcPr>
            <w:tcW w:type="dxa" w:w="4968"/>
          </w:tcPr>
          <w:p>
            <w:r/>
            <w:r>
              <w:rPr>
                <w:rFonts w:ascii="Aptos" w:hAnsi="Aptos"/>
                <w:b/>
                <w:sz w:val="18"/>
              </w:rPr>
              <w:t>Supplier</w:t>
            </w:r>
          </w:p>
        </w:tc>
        <w:tc>
          <w:tcPr>
            <w:tcW w:type="dxa" w:w="4968"/>
          </w:tcPr>
          <w:p>
            <w:r/>
            <w:r>
              <w:rPr>
                <w:rFonts w:ascii="Aptos" w:hAnsi="Aptos"/>
                <w:b w:val="0"/>
                <w:sz w:val="18"/>
              </w:rPr>
              <w:t>The Online Beauty Warehouse</w:t>
            </w:r>
          </w:p>
        </w:tc>
      </w:tr>
      <w:tr>
        <w:tc>
          <w:tcPr>
            <w:tcW w:type="dxa" w:w="4968"/>
          </w:tcPr>
          <w:p>
            <w:r/>
            <w:r>
              <w:rPr>
                <w:rFonts w:ascii="Aptos" w:hAnsi="Aptos"/>
                <w:b/>
                <w:sz w:val="18"/>
              </w:rPr>
              <w:t>Supplier address</w:t>
            </w:r>
          </w:p>
        </w:tc>
        <w:tc>
          <w:tcPr>
            <w:tcW w:type="dxa" w:w="4968"/>
          </w:tcPr>
          <w:p>
            <w:r/>
            <w:r>
              <w:rPr>
                <w:rFonts w:ascii="Aptos" w:hAnsi="Aptos"/>
                <w:b w:val="0"/>
                <w:sz w:val="18"/>
              </w:rPr>
              <w:t>3/1 Precision Drive, Molendinar QLD 4214</w:t>
            </w:r>
          </w:p>
        </w:tc>
      </w:tr>
      <w:tr>
        <w:tc>
          <w:tcPr>
            <w:tcW w:type="dxa" w:w="4968"/>
          </w:tcPr>
          <w:p>
            <w:r/>
            <w:r>
              <w:rPr>
                <w:rFonts w:ascii="Aptos" w:hAnsi="Aptos"/>
                <w:b/>
                <w:sz w:val="18"/>
              </w:rPr>
              <w:t>Invoice number</w:t>
            </w:r>
          </w:p>
        </w:tc>
        <w:tc>
          <w:tcPr>
            <w:tcW w:type="dxa" w:w="4968"/>
          </w:tcPr>
          <w:p>
            <w:r/>
            <w:r>
              <w:rPr>
                <w:rFonts w:ascii="Aptos" w:hAnsi="Aptos"/>
                <w:b w:val="0"/>
                <w:sz w:val="18"/>
              </w:rPr>
              <w:t>INV-1490</w:t>
            </w:r>
          </w:p>
        </w:tc>
      </w:tr>
      <w:tr>
        <w:tc>
          <w:tcPr>
            <w:tcW w:type="dxa" w:w="4968"/>
          </w:tcPr>
          <w:p>
            <w:r/>
            <w:r>
              <w:rPr>
                <w:rFonts w:ascii="Aptos" w:hAnsi="Aptos"/>
                <w:b/>
                <w:sz w:val="18"/>
              </w:rPr>
              <w:t>Invoice date</w:t>
            </w:r>
          </w:p>
        </w:tc>
        <w:tc>
          <w:tcPr>
            <w:tcW w:type="dxa" w:w="4968"/>
          </w:tcPr>
          <w:p>
            <w:r/>
            <w:r>
              <w:rPr>
                <w:rFonts w:ascii="Aptos" w:hAnsi="Aptos"/>
                <w:b w:val="0"/>
                <w:sz w:val="18"/>
              </w:rPr>
              <w:t>18 February 2026</w:t>
            </w:r>
          </w:p>
        </w:tc>
      </w:tr>
      <w:tr>
        <w:tc>
          <w:tcPr>
            <w:tcW w:type="dxa" w:w="4968"/>
          </w:tcPr>
          <w:p>
            <w:r/>
            <w:r>
              <w:rPr>
                <w:rFonts w:ascii="Aptos" w:hAnsi="Aptos"/>
                <w:b/>
                <w:sz w:val="18"/>
              </w:rPr>
              <w:t>Product</w:t>
            </w:r>
          </w:p>
        </w:tc>
        <w:tc>
          <w:tcPr>
            <w:tcW w:type="dxa" w:w="4968"/>
          </w:tcPr>
          <w:p>
            <w:r/>
            <w:r>
              <w:rPr>
                <w:rFonts w:ascii="Aptos" w:hAnsi="Aptos"/>
                <w:b w:val="0"/>
                <w:sz w:val="18"/>
              </w:rPr>
              <w:t>8D UltraTone HIFU</w:t>
            </w:r>
          </w:p>
        </w:tc>
      </w:tr>
      <w:tr>
        <w:tc>
          <w:tcPr>
            <w:tcW w:type="dxa" w:w="4968"/>
          </w:tcPr>
          <w:p>
            <w:r/>
            <w:r>
              <w:rPr>
                <w:rFonts w:ascii="Aptos" w:hAnsi="Aptos"/>
                <w:b/>
                <w:sz w:val="18"/>
              </w:rPr>
              <w:t>Invoice line price</w:t>
            </w:r>
          </w:p>
        </w:tc>
        <w:tc>
          <w:tcPr>
            <w:tcW w:type="dxa" w:w="4968"/>
          </w:tcPr>
          <w:p>
            <w:r/>
            <w:r>
              <w:rPr>
                <w:rFonts w:ascii="Aptos" w:hAnsi="Aptos"/>
                <w:b w:val="0"/>
                <w:sz w:val="18"/>
              </w:rPr>
              <w:t>$6,500.00 after $500 discount, plus $650 GST</w:t>
            </w:r>
          </w:p>
        </w:tc>
      </w:tr>
      <w:tr>
        <w:tc>
          <w:tcPr>
            <w:tcW w:type="dxa" w:w="4968"/>
          </w:tcPr>
          <w:p>
            <w:r/>
            <w:r>
              <w:rPr>
                <w:rFonts w:ascii="Aptos" w:hAnsi="Aptos"/>
                <w:b/>
                <w:sz w:val="18"/>
              </w:rPr>
              <w:t>Invoice total</w:t>
            </w:r>
          </w:p>
        </w:tc>
        <w:tc>
          <w:tcPr>
            <w:tcW w:type="dxa" w:w="4968"/>
          </w:tcPr>
          <w:p>
            <w:r/>
            <w:r>
              <w:rPr>
                <w:rFonts w:ascii="Aptos" w:hAnsi="Aptos"/>
                <w:b w:val="0"/>
                <w:sz w:val="18"/>
              </w:rPr>
              <w:t>AUD $7,150.00</w:t>
            </w:r>
          </w:p>
        </w:tc>
      </w:tr>
    </w:tbl>
    <w:p>
      <w:pPr>
        <w:pStyle w:val="Heading1"/>
      </w:pPr>
      <w:r>
        <w:t>17. Sources and document status</w:t>
      </w:r>
    </w:p>
    <w:p>
      <w:r>
        <w:t>Compiled September 2026 from: (1) purchase invoice INV-1490 supplied by the owner; (2) The Online Beauty Warehouse's public 8D UltraTone HIFU product page; (3) The Online Beauty Warehouse's public 8D UltraTone cartridge page; and (4) general professional ultrasound safety principles. No original manufacturer-issued 8D UltraTone technical/operator manual was available to verify exact electrical specifications, screen controls, energy ranges, treatment maps or clinical parameter tables.</w:t>
      </w:r>
    </w:p>
    <w:p>
      <w:r>
        <w:t>Before clinical use, obtain the original manufacturer/supplier manual and training documentation. Where this reference conflicts with the machine label, cartridge packaging, manufacturer manual, supplier instructions or qualified training, those authoritative instructions take priority.</w:t>
      </w:r>
    </w:p>
    <w:p>
      <w:pPr>
        <w:pStyle w:val="Heading1"/>
      </w:pPr>
      <w:r>
        <w:t>18. Equipment record</w:t>
      </w:r>
    </w:p>
    <w:tbl>
      <w:tblPr>
        <w:tblStyle w:val="TableGrid"/>
        <w:tblW w:type="auto" w:w="0"/>
        <w:tblLook w:firstColumn="1" w:firstRow="1" w:lastColumn="0" w:lastRow="0" w:noHBand="0" w:noVBand="1" w:val="04A0"/>
      </w:tblPr>
      <w:tblGrid>
        <w:gridCol w:w="4968"/>
        <w:gridCol w:w="4968"/>
      </w:tblGrid>
      <w:tr>
        <w:tc>
          <w:tcPr>
            <w:tcW w:type="dxa" w:w="4968"/>
            <w:shd w:fill="E7EEF2"/>
          </w:tcPr>
          <w:p>
            <w:r/>
            <w:r>
              <w:rPr>
                <w:rFonts w:ascii="Aptos" w:hAnsi="Aptos"/>
                <w:b/>
                <w:sz w:val="18"/>
              </w:rPr>
              <w:t>Serial number</w:t>
            </w:r>
          </w:p>
        </w:tc>
        <w:tc>
          <w:tcPr>
            <w:tcW w:type="dxa" w:w="4968"/>
          </w:tcPr>
          <w:p>
            <w:r/>
            <w:r>
              <w:rPr>
                <w:rFonts w:ascii="Aptos" w:hAnsi="Aptos"/>
                <w:b w:val="0"/>
                <w:sz w:val="18"/>
              </w:rPr>
            </w:r>
          </w:p>
        </w:tc>
      </w:tr>
      <w:tr>
        <w:tc>
          <w:tcPr>
            <w:tcW w:type="dxa" w:w="4968"/>
            <w:shd w:fill="E7EEF2"/>
          </w:tcPr>
          <w:p>
            <w:r/>
            <w:r>
              <w:rPr>
                <w:rFonts w:ascii="Aptos" w:hAnsi="Aptos"/>
                <w:b/>
                <w:sz w:val="18"/>
              </w:rPr>
              <w:t>Model/rating plate details</w:t>
            </w:r>
          </w:p>
        </w:tc>
        <w:tc>
          <w:tcPr>
            <w:tcW w:type="dxa" w:w="4968"/>
          </w:tcPr>
          <w:p>
            <w:r/>
            <w:r>
              <w:rPr>
                <w:rFonts w:ascii="Aptos" w:hAnsi="Aptos"/>
                <w:b w:val="0"/>
                <w:sz w:val="18"/>
              </w:rPr>
            </w:r>
          </w:p>
        </w:tc>
      </w:tr>
      <w:tr>
        <w:tc>
          <w:tcPr>
            <w:tcW w:type="dxa" w:w="4968"/>
            <w:shd w:fill="E7EEF2"/>
          </w:tcPr>
          <w:p>
            <w:r/>
            <w:r>
              <w:rPr>
                <w:rFonts w:ascii="Aptos" w:hAnsi="Aptos"/>
                <w:b/>
                <w:sz w:val="18"/>
              </w:rPr>
              <w:t>Date placed in service</w:t>
            </w:r>
          </w:p>
        </w:tc>
        <w:tc>
          <w:tcPr>
            <w:tcW w:type="dxa" w:w="4968"/>
          </w:tcPr>
          <w:p>
            <w:r/>
            <w:r>
              <w:rPr>
                <w:rFonts w:ascii="Aptos" w:hAnsi="Aptos"/>
                <w:b w:val="0"/>
                <w:sz w:val="18"/>
              </w:rPr>
            </w:r>
          </w:p>
        </w:tc>
      </w:tr>
      <w:tr>
        <w:tc>
          <w:tcPr>
            <w:tcW w:type="dxa" w:w="4968"/>
            <w:shd w:fill="E7EEF2"/>
          </w:tcPr>
          <w:p>
            <w:r/>
            <w:r>
              <w:rPr>
                <w:rFonts w:ascii="Aptos" w:hAnsi="Aptos"/>
                <w:b/>
                <w:sz w:val="18"/>
              </w:rPr>
              <w:t>Training provider/date</w:t>
            </w:r>
          </w:p>
        </w:tc>
        <w:tc>
          <w:tcPr>
            <w:tcW w:type="dxa" w:w="4968"/>
          </w:tcPr>
          <w:p>
            <w:r/>
            <w:r>
              <w:rPr>
                <w:rFonts w:ascii="Aptos" w:hAnsi="Aptos"/>
                <w:b w:val="0"/>
                <w:sz w:val="18"/>
              </w:rPr>
            </w:r>
          </w:p>
        </w:tc>
      </w:tr>
      <w:tr>
        <w:tc>
          <w:tcPr>
            <w:tcW w:type="dxa" w:w="4968"/>
            <w:shd w:fill="E7EEF2"/>
          </w:tcPr>
          <w:p>
            <w:r/>
            <w:r>
              <w:rPr>
                <w:rFonts w:ascii="Aptos" w:hAnsi="Aptos"/>
                <w:b/>
                <w:sz w:val="18"/>
              </w:rPr>
              <w:t>Last service date</w:t>
            </w:r>
          </w:p>
        </w:tc>
        <w:tc>
          <w:tcPr>
            <w:tcW w:type="dxa" w:w="4968"/>
          </w:tcPr>
          <w:p>
            <w:r/>
            <w:r>
              <w:rPr>
                <w:rFonts w:ascii="Aptos" w:hAnsi="Aptos"/>
                <w:b w:val="0"/>
                <w:sz w:val="18"/>
              </w:rPr>
            </w:r>
          </w:p>
        </w:tc>
      </w:tr>
      <w:tr>
        <w:tc>
          <w:tcPr>
            <w:tcW w:type="dxa" w:w="4968"/>
            <w:shd w:fill="E7EEF2"/>
          </w:tcPr>
          <w:p>
            <w:r/>
            <w:r>
              <w:rPr>
                <w:rFonts w:ascii="Aptos" w:hAnsi="Aptos"/>
                <w:b/>
                <w:sz w:val="18"/>
              </w:rPr>
              <w:t>Next service due</w:t>
            </w:r>
          </w:p>
        </w:tc>
        <w:tc>
          <w:tcPr>
            <w:tcW w:type="dxa" w:w="4968"/>
          </w:tcPr>
          <w:p>
            <w:r/>
            <w:r>
              <w:rPr>
                <w:rFonts w:ascii="Aptos" w:hAnsi="Aptos"/>
                <w:b w:val="0"/>
                <w:sz w:val="18"/>
              </w:rPr>
            </w:r>
          </w:p>
        </w:tc>
      </w:tr>
      <w:tr>
        <w:tc>
          <w:tcPr>
            <w:tcW w:type="dxa" w:w="4968"/>
            <w:shd w:fill="E7EEF2"/>
          </w:tcPr>
          <w:p>
            <w:r/>
            <w:r>
              <w:rPr>
                <w:rFonts w:ascii="Aptos" w:hAnsi="Aptos"/>
                <w:b/>
                <w:sz w:val="18"/>
              </w:rPr>
              <w:t>Notes</w:t>
            </w:r>
          </w:p>
        </w:tc>
        <w:tc>
          <w:tcPr>
            <w:tcW w:type="dxa" w:w="4968"/>
          </w:tcPr>
          <w:p>
            <w:r/>
            <w:r>
              <w:rPr>
                <w:rFonts w:ascii="Aptos" w:hAnsi="Aptos"/>
                <w:b w:val="0"/>
                <w:sz w:val="18"/>
              </w:rPr>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8D UltraTone HIFU - Owner &amp; Operations Reference Manual | Compiled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23D4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23D4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23D4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